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jc w:val="center"/>
              <w:rPr>
                <w:rFonts w:ascii="黑体" w:hAnsi="黑体" w:eastAsia="黑体"/>
                <w:sz w:val="52"/>
                <w:szCs w:val="52"/>
              </w:rPr>
            </w:pPr>
            <w:r>
              <w:rPr>
                <w:rFonts w:hint="eastAsia" w:ascii="黑体" w:hAnsi="黑体" w:eastAsia="黑体"/>
                <w:sz w:val="52"/>
                <w:szCs w:val="52"/>
                <w:lang w:eastAsia="zh-CN"/>
              </w:rPr>
              <w:t>机场路高架（三环线</w:t>
            </w:r>
            <w:r>
              <w:rPr>
                <w:rFonts w:hint="eastAsia" w:ascii="黑体" w:hAnsi="黑体" w:eastAsia="黑体"/>
                <w:sz w:val="52"/>
                <w:szCs w:val="52"/>
                <w:lang w:val="en-US" w:eastAsia="zh-CN"/>
              </w:rPr>
              <w:t>-马池路</w:t>
            </w:r>
            <w:r>
              <w:rPr>
                <w:rFonts w:hint="eastAsia" w:ascii="黑体" w:hAnsi="黑体" w:eastAsia="黑体"/>
                <w:sz w:val="52"/>
                <w:szCs w:val="52"/>
                <w:lang w:eastAsia="zh-CN"/>
              </w:rPr>
              <w:t>）</w:t>
            </w:r>
            <w:r>
              <w:rPr>
                <w:rFonts w:hint="eastAsia" w:ascii="黑体" w:hAnsi="黑体" w:eastAsia="黑体"/>
                <w:sz w:val="52"/>
                <w:szCs w:val="52"/>
              </w:rPr>
              <w:t>工程水土保持监测</w:t>
            </w: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武汉航空港发展集团有限公司</w:t>
      </w:r>
    </w:p>
    <w:p>
      <w:pPr>
        <w:rPr>
          <w:sz w:val="44"/>
          <w:szCs w:val="44"/>
        </w:rPr>
      </w:pPr>
    </w:p>
    <w:p>
      <w:pPr>
        <w:ind w:firstLine="435"/>
        <w:jc w:val="center"/>
        <w:rPr>
          <w:sz w:val="44"/>
          <w:szCs w:val="44"/>
        </w:rPr>
      </w:pPr>
      <w:r>
        <w:rPr>
          <w:rFonts w:hint="eastAsia"/>
          <w:sz w:val="44"/>
          <w:szCs w:val="44"/>
        </w:rPr>
        <w:t>二〇二</w:t>
      </w:r>
      <w:r>
        <w:rPr>
          <w:rFonts w:hint="eastAsia"/>
          <w:sz w:val="44"/>
          <w:szCs w:val="44"/>
          <w:lang w:eastAsia="zh-CN"/>
        </w:rPr>
        <w:t>一</w:t>
      </w:r>
      <w:r>
        <w:rPr>
          <w:rFonts w:hint="eastAsia"/>
          <w:sz w:val="44"/>
          <w:szCs w:val="44"/>
        </w:rPr>
        <w:t>年</w:t>
      </w:r>
      <w:r>
        <w:rPr>
          <w:rFonts w:hint="eastAsia"/>
          <w:sz w:val="44"/>
          <w:szCs w:val="44"/>
          <w:lang w:eastAsia="zh-CN"/>
        </w:rPr>
        <w:t>十</w:t>
      </w:r>
      <w:bookmarkStart w:id="0" w:name="_GoBack"/>
      <w:bookmarkEnd w:id="0"/>
      <w:r>
        <w:rPr>
          <w:rFonts w:hint="eastAsia"/>
          <w:sz w:val="44"/>
          <w:szCs w:val="44"/>
        </w:rPr>
        <w:t>月</w:t>
      </w:r>
    </w:p>
    <w:p>
      <w:pPr>
        <w:ind w:firstLine="4422" w:firstLineChars="1005"/>
        <w:rPr>
          <w:rFonts w:hint="eastAsia"/>
          <w:sz w:val="44"/>
          <w:szCs w:val="44"/>
        </w:rPr>
      </w:pPr>
    </w:p>
    <w:p>
      <w:pPr>
        <w:ind w:firstLine="4422" w:firstLineChars="1005"/>
        <w:rPr>
          <w:rFonts w:hint="eastAsia"/>
          <w:sz w:val="44"/>
          <w:szCs w:val="44"/>
        </w:rPr>
      </w:pPr>
    </w:p>
    <w:p>
      <w:pPr>
        <w:ind w:firstLine="4422" w:firstLineChars="1005"/>
        <w:rPr>
          <w:sz w:val="44"/>
          <w:szCs w:val="44"/>
        </w:rPr>
      </w:pPr>
    </w:p>
    <w:p>
      <w:pPr>
        <w:jc w:val="center"/>
        <w:rPr>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近五年内已完成或正在履行的类似咨询工作业绩，每提供一个得4分，含桥梁工程的额外加1分，本项最高得25分。需提供合同或其他证明文件并加盖公章，否则视为无效业绩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widowControl/>
        <w:autoSpaceDE w:val="0"/>
        <w:autoSpaceDN w:val="0"/>
        <w:spacing w:line="400" w:lineRule="atLeast"/>
        <w:jc w:val="center"/>
        <w:textAlignment w:val="bottom"/>
        <w:rPr>
          <w:rFonts w:ascii="宋体" w:hAnsi="宋体"/>
          <w:b/>
          <w:bCs/>
          <w:kern w:val="0"/>
          <w:sz w:val="44"/>
          <w:szCs w:val="44"/>
        </w:rPr>
      </w:pPr>
      <w:r>
        <w:rPr>
          <w:rFonts w:hint="eastAsia" w:ascii="黑体" w:hAnsi="黑体" w:eastAsia="黑体"/>
          <w:sz w:val="52"/>
          <w:szCs w:val="52"/>
          <w:lang w:eastAsia="zh-CN"/>
        </w:rPr>
        <w:t>机场路高架（三环线</w:t>
      </w:r>
      <w:r>
        <w:rPr>
          <w:rFonts w:hint="eastAsia" w:ascii="黑体" w:hAnsi="黑体" w:eastAsia="黑体"/>
          <w:sz w:val="52"/>
          <w:szCs w:val="52"/>
          <w:lang w:val="en-US" w:eastAsia="zh-CN"/>
        </w:rPr>
        <w:t>-马池路</w:t>
      </w:r>
      <w:r>
        <w:rPr>
          <w:rFonts w:hint="eastAsia" w:ascii="黑体" w:hAnsi="黑体" w:eastAsia="黑体"/>
          <w:sz w:val="52"/>
          <w:szCs w:val="52"/>
          <w:lang w:eastAsia="zh-CN"/>
        </w:rPr>
        <w:t>）</w:t>
      </w:r>
      <w:r>
        <w:rPr>
          <w:rFonts w:hint="eastAsia" w:ascii="黑体" w:hAnsi="黑体" w:eastAsia="黑体"/>
          <w:sz w:val="52"/>
          <w:szCs w:val="52"/>
        </w:rPr>
        <w:t>工程</w:t>
      </w:r>
      <w:r>
        <w:rPr>
          <w:rFonts w:hint="eastAsia" w:ascii="宋体" w:hAnsi="宋体"/>
          <w:b/>
          <w:bCs/>
          <w:kern w:val="0"/>
          <w:sz w:val="44"/>
          <w:szCs w:val="44"/>
        </w:rPr>
        <w:t>水土保持监测</w:t>
      </w: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p>
    <w:p>
      <w:pPr>
        <w:jc w:val="center"/>
        <w:rPr>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武汉航空港发展集团有限公司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一、我公司同意本参选文件有效期为参选文件递交截止之日起90天，在此期限届满之前，本参选文件始终将对公司具有约束力，并随时接受中选。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二、如获中标，我公司在未征得建设单位同意的前提不得变更主要项目组人员。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三、如获中标,我公司保证按照投标文件中的工作计划、质量目标及报价完成本项工作。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四、我公司保证编制的内容及深度满足国家相关法律法规及有关技术规范的要求,确保通过专家评审和行政审批。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五、我公司接受本次遴选采用评分第一名中标的方式。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、本次参选所发生费用由我公司自行承担。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  月  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843"/>
        <w:gridCol w:w="1843"/>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843"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559"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ascii="仿宋" w:hAnsi="仿宋" w:eastAsia="仿宋" w:cs="宋体"/>
          <w:b/>
          <w:kern w:val="0"/>
          <w:sz w:val="32"/>
          <w:szCs w:val="32"/>
        </w:rPr>
        <w:t>5</w:t>
      </w:r>
      <w:r>
        <w:rPr>
          <w:rFonts w:hint="eastAsia" w:ascii="仿宋" w:hAnsi="仿宋" w:eastAsia="仿宋" w:cs="宋体"/>
          <w:b/>
          <w:kern w:val="0"/>
          <w:sz w:val="32"/>
          <w:szCs w:val="32"/>
        </w:rPr>
        <w:t>年7月-20</w:t>
      </w:r>
      <w:r>
        <w:rPr>
          <w:rFonts w:ascii="仿宋" w:hAnsi="仿宋" w:eastAsia="仿宋" w:cs="宋体"/>
          <w:b/>
          <w:kern w:val="0"/>
          <w:sz w:val="32"/>
          <w:szCs w:val="32"/>
        </w:rPr>
        <w:t>20</w:t>
      </w:r>
      <w:r>
        <w:rPr>
          <w:rFonts w:hint="eastAsia" w:ascii="仿宋" w:hAnsi="仿宋" w:eastAsia="仿宋" w:cs="宋体"/>
          <w:b/>
          <w:kern w:val="0"/>
          <w:sz w:val="32"/>
          <w:szCs w:val="32"/>
        </w:rPr>
        <w:t>年7月）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武汉航空港发展集团有限公司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、严格按照国家、省、市及本行业咨询收费标准进行计费，本次下浮比例为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0C2B"/>
    <w:rsid w:val="00006E36"/>
    <w:rsid w:val="00007AB8"/>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4404D"/>
    <w:rsid w:val="0026399A"/>
    <w:rsid w:val="00274404"/>
    <w:rsid w:val="00280B58"/>
    <w:rsid w:val="0028794A"/>
    <w:rsid w:val="00291193"/>
    <w:rsid w:val="00297C7A"/>
    <w:rsid w:val="002A1627"/>
    <w:rsid w:val="002B76C8"/>
    <w:rsid w:val="002C6FB4"/>
    <w:rsid w:val="002D1D10"/>
    <w:rsid w:val="002D38B6"/>
    <w:rsid w:val="002E24E6"/>
    <w:rsid w:val="00304DB8"/>
    <w:rsid w:val="00305A62"/>
    <w:rsid w:val="00327D8B"/>
    <w:rsid w:val="0034448A"/>
    <w:rsid w:val="0035387C"/>
    <w:rsid w:val="0036234B"/>
    <w:rsid w:val="00380E33"/>
    <w:rsid w:val="00385EA9"/>
    <w:rsid w:val="003862E8"/>
    <w:rsid w:val="003A3FBD"/>
    <w:rsid w:val="003B18AB"/>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654C6"/>
    <w:rsid w:val="00575B6F"/>
    <w:rsid w:val="00583B8D"/>
    <w:rsid w:val="005844B6"/>
    <w:rsid w:val="005A402E"/>
    <w:rsid w:val="005A68B7"/>
    <w:rsid w:val="005B58D5"/>
    <w:rsid w:val="005D035E"/>
    <w:rsid w:val="005E128D"/>
    <w:rsid w:val="005E278B"/>
    <w:rsid w:val="005F0100"/>
    <w:rsid w:val="00604225"/>
    <w:rsid w:val="00613158"/>
    <w:rsid w:val="00616E00"/>
    <w:rsid w:val="0063216C"/>
    <w:rsid w:val="00651F9A"/>
    <w:rsid w:val="006609C3"/>
    <w:rsid w:val="00661E49"/>
    <w:rsid w:val="00663F54"/>
    <w:rsid w:val="00673C80"/>
    <w:rsid w:val="0067574B"/>
    <w:rsid w:val="006B320E"/>
    <w:rsid w:val="006C187D"/>
    <w:rsid w:val="006C5C9E"/>
    <w:rsid w:val="006E05E4"/>
    <w:rsid w:val="006F44D2"/>
    <w:rsid w:val="007007A4"/>
    <w:rsid w:val="00703CFA"/>
    <w:rsid w:val="007108EF"/>
    <w:rsid w:val="007230E7"/>
    <w:rsid w:val="00724F54"/>
    <w:rsid w:val="007254CF"/>
    <w:rsid w:val="00732EE3"/>
    <w:rsid w:val="00733CCC"/>
    <w:rsid w:val="00745AF4"/>
    <w:rsid w:val="00752DEA"/>
    <w:rsid w:val="00753A3B"/>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0CBE"/>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D4554"/>
    <w:rsid w:val="00AE79FC"/>
    <w:rsid w:val="00B01BA7"/>
    <w:rsid w:val="00B05F56"/>
    <w:rsid w:val="00B1103A"/>
    <w:rsid w:val="00B36B2E"/>
    <w:rsid w:val="00B40D9D"/>
    <w:rsid w:val="00B534F0"/>
    <w:rsid w:val="00B700D6"/>
    <w:rsid w:val="00B83246"/>
    <w:rsid w:val="00BB584F"/>
    <w:rsid w:val="00BB7192"/>
    <w:rsid w:val="00BC0AC4"/>
    <w:rsid w:val="00BE381A"/>
    <w:rsid w:val="00BE7637"/>
    <w:rsid w:val="00C05961"/>
    <w:rsid w:val="00C17600"/>
    <w:rsid w:val="00C24CAF"/>
    <w:rsid w:val="00C45E09"/>
    <w:rsid w:val="00C56619"/>
    <w:rsid w:val="00C73852"/>
    <w:rsid w:val="00C81069"/>
    <w:rsid w:val="00C915DE"/>
    <w:rsid w:val="00C91C15"/>
    <w:rsid w:val="00C92076"/>
    <w:rsid w:val="00C929B6"/>
    <w:rsid w:val="00CA5D49"/>
    <w:rsid w:val="00CB4E30"/>
    <w:rsid w:val="00CB736E"/>
    <w:rsid w:val="00CB744D"/>
    <w:rsid w:val="00CC4E24"/>
    <w:rsid w:val="00CD30ED"/>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A006A"/>
    <w:rsid w:val="00EA05AB"/>
    <w:rsid w:val="00EA55D5"/>
    <w:rsid w:val="00EE4E11"/>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1FE03702"/>
    <w:rsid w:val="24F77395"/>
    <w:rsid w:val="3E702FE0"/>
    <w:rsid w:val="50971826"/>
    <w:rsid w:val="68925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uiPriority w:val="1"/>
    <w:rPr>
      <w:rFonts w:ascii="Calibri" w:hAnsi="Calibri"/>
      <w:sz w:val="22"/>
      <w:szCs w:val="22"/>
      <w:lang w:val="en-US" w:eastAsia="zh-CN" w:bidi="ar-SA"/>
    </w:rPr>
  </w:style>
  <w:style w:type="character" w:customStyle="1" w:styleId="18">
    <w:name w:val="批注框文本 Char"/>
    <w:link w:val="6"/>
    <w:uiPriority w:val="0"/>
    <w:rPr>
      <w:kern w:val="2"/>
      <w:sz w:val="18"/>
      <w:szCs w:val="18"/>
    </w:rPr>
  </w:style>
  <w:style w:type="paragraph" w:customStyle="1" w:styleId="19">
    <w:name w:val="xiao b"/>
    <w:basedOn w:val="1"/>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1949</Words>
  <Characters>2006</Characters>
  <Lines>16</Lines>
  <Paragraphs>4</Paragraphs>
  <TotalTime>3</TotalTime>
  <ScaleCrop>false</ScaleCrop>
  <LinksUpToDate>false</LinksUpToDate>
  <CharactersWithSpaces>2060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2021-10-13T02:11:07Z</cp:lastPrinted>
  <dcterms:modified xsi:type="dcterms:W3CDTF">2021-10-13T02:14:09Z</dcterms:modified>
  <dc:title>青化路（武大铁路跨线桥---外环线）项目专题遴选资料</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26B49BD9786948D1B0721E371B6EF6AE</vt:lpwstr>
  </property>
</Properties>
</file>