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10"/>
        <w:tblpPr w:leftFromText="180" w:rightFromText="180" w:horzAnchor="margin" w:tblpXSpec="center" w:tblpY="448"/>
        <w:tblW w:w="9038" w:type="dxa"/>
        <w:tblInd w:w="0" w:type="dxa"/>
        <w:tblLayout w:type="fixed"/>
        <w:tblCellMar>
          <w:top w:w="0" w:type="dxa"/>
          <w:left w:w="108" w:type="dxa"/>
          <w:bottom w:w="0" w:type="dxa"/>
          <w:right w:w="108" w:type="dxa"/>
        </w:tblCellMar>
      </w:tblPr>
      <w:tblGrid>
        <w:gridCol w:w="9038"/>
      </w:tblGrid>
      <w:tr>
        <w:tblPrEx>
          <w:tblLayout w:type="fixed"/>
          <w:tblCellMar>
            <w:top w:w="0" w:type="dxa"/>
            <w:left w:w="108" w:type="dxa"/>
            <w:bottom w:w="0" w:type="dxa"/>
            <w:right w:w="108" w:type="dxa"/>
          </w:tblCellMar>
        </w:tblPrEx>
        <w:trPr>
          <w:trHeight w:val="3588" w:hRule="atLeast"/>
        </w:trPr>
        <w:tc>
          <w:tcPr>
            <w:tcW w:w="9038" w:type="dxa"/>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rPr>
              <w:t>地震安全评估</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三</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10"/>
        <w:tblW w:w="9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bCs/>
                <w:kern w:val="0"/>
                <w:sz w:val="21"/>
                <w:szCs w:val="21"/>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bCs/>
                <w:kern w:val="0"/>
                <w:sz w:val="21"/>
                <w:szCs w:val="21"/>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1"/>
                <w:szCs w:val="21"/>
              </w:rPr>
            </w:pPr>
            <w:r>
              <w:rPr>
                <w:rFonts w:hint="eastAsia" w:ascii="仿宋" w:hAnsi="仿宋" w:eastAsia="仿宋" w:cs="宋体"/>
                <w:bCs/>
                <w:kern w:val="0"/>
                <w:sz w:val="21"/>
                <w:szCs w:val="21"/>
              </w:rPr>
              <w:t>1、企业综合实力强，经营状况好，企业信誉好的得10分</w:t>
            </w:r>
          </w:p>
          <w:p>
            <w:pPr>
              <w:adjustRightInd w:val="0"/>
              <w:snapToGrid w:val="0"/>
              <w:spacing w:line="340" w:lineRule="exact"/>
              <w:jc w:val="left"/>
              <w:rPr>
                <w:rFonts w:ascii="仿宋" w:hAnsi="仿宋" w:eastAsia="仿宋" w:cs="宋体"/>
                <w:bCs/>
                <w:kern w:val="0"/>
                <w:sz w:val="21"/>
                <w:szCs w:val="21"/>
              </w:rPr>
            </w:pPr>
            <w:r>
              <w:rPr>
                <w:rFonts w:hint="eastAsia" w:ascii="仿宋" w:hAnsi="仿宋" w:eastAsia="仿宋" w:cs="宋体"/>
                <w:bCs/>
                <w:kern w:val="0"/>
                <w:sz w:val="21"/>
                <w:szCs w:val="21"/>
              </w:rPr>
              <w:t>2、企业综合实力较强，经营状况较好，企业信誉好6-9分</w:t>
            </w:r>
          </w:p>
          <w:p>
            <w:pPr>
              <w:adjustRightInd w:val="0"/>
              <w:snapToGrid w:val="0"/>
              <w:spacing w:line="340" w:lineRule="exact"/>
              <w:jc w:val="left"/>
              <w:rPr>
                <w:rFonts w:ascii="仿宋" w:hAnsi="仿宋" w:eastAsia="仿宋" w:cs="宋体"/>
                <w:kern w:val="0"/>
                <w:sz w:val="21"/>
                <w:szCs w:val="21"/>
              </w:rPr>
            </w:pPr>
            <w:r>
              <w:rPr>
                <w:rFonts w:hint="eastAsia" w:ascii="仿宋" w:hAnsi="仿宋" w:eastAsia="仿宋" w:cs="宋体"/>
                <w:bCs/>
                <w:kern w:val="0"/>
                <w:sz w:val="21"/>
                <w:szCs w:val="21"/>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bCs/>
                <w:kern w:val="0"/>
                <w:sz w:val="21"/>
                <w:szCs w:val="21"/>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bCs/>
                <w:kern w:val="0"/>
                <w:sz w:val="21"/>
                <w:szCs w:val="21"/>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1"/>
                <w:szCs w:val="21"/>
              </w:rPr>
            </w:pPr>
            <w:r>
              <w:rPr>
                <w:rFonts w:hint="eastAsia" w:ascii="仿宋" w:hAnsi="仿宋" w:eastAsia="仿宋" w:cs="宋体"/>
                <w:bCs/>
                <w:kern w:val="0"/>
                <w:sz w:val="21"/>
                <w:szCs w:val="21"/>
              </w:rPr>
              <w:t>近五年内已完成或正在履行的类似咨询工作业绩，每提供一个得4分，最高20分。含桥梁工程的额外加1分，最高5分。需提供合同或其他证明文件并加盖公章，否则视为无效业绩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kern w:val="0"/>
                <w:sz w:val="21"/>
                <w:szCs w:val="21"/>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bCs/>
                <w:kern w:val="0"/>
                <w:sz w:val="21"/>
                <w:szCs w:val="21"/>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一、人员安排</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1、</w:t>
            </w:r>
            <w:r>
              <w:rPr>
                <w:rFonts w:ascii="仿宋" w:hAnsi="仿宋" w:eastAsia="仿宋" w:cs="宋体"/>
                <w:bCs/>
                <w:kern w:val="0"/>
                <w:sz w:val="21"/>
                <w:szCs w:val="21"/>
              </w:rPr>
              <w:t>人员</w:t>
            </w:r>
            <w:r>
              <w:rPr>
                <w:rFonts w:hint="eastAsia" w:ascii="仿宋" w:hAnsi="仿宋" w:eastAsia="仿宋" w:cs="宋体"/>
                <w:bCs/>
                <w:kern w:val="0"/>
                <w:sz w:val="21"/>
                <w:szCs w:val="21"/>
              </w:rPr>
              <w:t>计划</w:t>
            </w:r>
            <w:r>
              <w:rPr>
                <w:rFonts w:ascii="仿宋" w:hAnsi="仿宋" w:eastAsia="仿宋" w:cs="宋体"/>
                <w:bCs/>
                <w:kern w:val="0"/>
                <w:sz w:val="21"/>
                <w:szCs w:val="21"/>
              </w:rPr>
              <w:t>安排</w:t>
            </w:r>
            <w:r>
              <w:rPr>
                <w:rFonts w:hint="eastAsia" w:ascii="仿宋" w:hAnsi="仿宋" w:eastAsia="仿宋" w:cs="宋体"/>
                <w:bCs/>
                <w:kern w:val="0"/>
                <w:sz w:val="21"/>
                <w:szCs w:val="21"/>
              </w:rPr>
              <w:t>合理</w:t>
            </w:r>
            <w:r>
              <w:rPr>
                <w:rFonts w:ascii="仿宋" w:hAnsi="仿宋" w:eastAsia="仿宋" w:cs="宋体"/>
                <w:bCs/>
                <w:kern w:val="0"/>
                <w:sz w:val="21"/>
                <w:szCs w:val="21"/>
              </w:rPr>
              <w:t>，人员素质高</w:t>
            </w:r>
            <w:r>
              <w:rPr>
                <w:rFonts w:hint="eastAsia" w:ascii="仿宋" w:hAnsi="仿宋" w:eastAsia="仿宋" w:cs="宋体"/>
                <w:bCs/>
                <w:kern w:val="0"/>
                <w:sz w:val="21"/>
                <w:szCs w:val="21"/>
              </w:rPr>
              <w:t>，</w:t>
            </w:r>
            <w:r>
              <w:rPr>
                <w:rFonts w:ascii="仿宋" w:hAnsi="仿宋" w:eastAsia="仿宋" w:cs="宋体"/>
                <w:bCs/>
                <w:kern w:val="0"/>
                <w:sz w:val="21"/>
                <w:szCs w:val="21"/>
              </w:rPr>
              <w:t>专业结构齐全得10分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2、</w:t>
            </w:r>
            <w:r>
              <w:rPr>
                <w:rFonts w:ascii="仿宋" w:hAnsi="仿宋" w:eastAsia="仿宋" w:cs="宋体"/>
                <w:bCs/>
                <w:kern w:val="0"/>
                <w:sz w:val="21"/>
                <w:szCs w:val="21"/>
              </w:rPr>
              <w:t>人员</w:t>
            </w:r>
            <w:r>
              <w:rPr>
                <w:rFonts w:hint="eastAsia" w:ascii="仿宋" w:hAnsi="仿宋" w:eastAsia="仿宋" w:cs="宋体"/>
                <w:bCs/>
                <w:kern w:val="0"/>
                <w:sz w:val="21"/>
                <w:szCs w:val="21"/>
              </w:rPr>
              <w:t>计划</w:t>
            </w:r>
            <w:r>
              <w:rPr>
                <w:rFonts w:ascii="仿宋" w:hAnsi="仿宋" w:eastAsia="仿宋" w:cs="宋体"/>
                <w:bCs/>
                <w:kern w:val="0"/>
                <w:sz w:val="21"/>
                <w:szCs w:val="21"/>
              </w:rPr>
              <w:t>安排</w:t>
            </w:r>
            <w:r>
              <w:rPr>
                <w:rFonts w:hint="eastAsia" w:ascii="仿宋" w:hAnsi="仿宋" w:eastAsia="仿宋" w:cs="宋体"/>
                <w:bCs/>
                <w:kern w:val="0"/>
                <w:sz w:val="21"/>
                <w:szCs w:val="21"/>
              </w:rPr>
              <w:t>较合理</w:t>
            </w:r>
            <w:r>
              <w:rPr>
                <w:rFonts w:ascii="仿宋" w:hAnsi="仿宋" w:eastAsia="仿宋" w:cs="宋体"/>
                <w:bCs/>
                <w:kern w:val="0"/>
                <w:sz w:val="21"/>
                <w:szCs w:val="21"/>
              </w:rPr>
              <w:t>，人员素质较高</w:t>
            </w:r>
            <w:r>
              <w:rPr>
                <w:rFonts w:hint="eastAsia" w:ascii="仿宋" w:hAnsi="仿宋" w:eastAsia="仿宋" w:cs="宋体"/>
                <w:bCs/>
                <w:kern w:val="0"/>
                <w:sz w:val="21"/>
                <w:szCs w:val="21"/>
              </w:rPr>
              <w:t>，</w:t>
            </w:r>
            <w:r>
              <w:rPr>
                <w:rFonts w:ascii="仿宋" w:hAnsi="仿宋" w:eastAsia="仿宋" w:cs="宋体"/>
                <w:bCs/>
                <w:kern w:val="0"/>
                <w:sz w:val="21"/>
                <w:szCs w:val="21"/>
              </w:rPr>
              <w:t>专业结构较齐全得6-9分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3、其他</w:t>
            </w:r>
            <w:r>
              <w:rPr>
                <w:rFonts w:ascii="仿宋" w:hAnsi="仿宋" w:eastAsia="仿宋" w:cs="宋体"/>
                <w:bCs/>
                <w:kern w:val="0"/>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5"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1"/>
                <w:szCs w:val="21"/>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1"/>
                <w:szCs w:val="21"/>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二、工作方案</w:t>
            </w:r>
          </w:p>
          <w:p>
            <w:pPr>
              <w:adjustRightInd w:val="0"/>
              <w:snapToGrid w:val="0"/>
              <w:spacing w:line="340" w:lineRule="exact"/>
              <w:rPr>
                <w:rFonts w:hint="eastAsia" w:ascii="仿宋" w:hAnsi="仿宋" w:eastAsia="仿宋" w:cs="宋体"/>
                <w:bCs/>
                <w:kern w:val="0"/>
                <w:sz w:val="21"/>
                <w:szCs w:val="21"/>
                <w:lang w:eastAsia="zh-CN"/>
              </w:rPr>
            </w:pPr>
            <w:r>
              <w:rPr>
                <w:rFonts w:hint="eastAsia" w:ascii="仿宋" w:hAnsi="仿宋" w:eastAsia="仿宋" w:cs="宋体"/>
                <w:bCs/>
                <w:kern w:val="0"/>
                <w:sz w:val="21"/>
                <w:szCs w:val="21"/>
              </w:rPr>
              <w:t>1、有进度计划目标，进度计划及保证措施具体详细可行性强得</w:t>
            </w:r>
            <w:r>
              <w:rPr>
                <w:rFonts w:hint="eastAsia" w:ascii="仿宋" w:hAnsi="仿宋" w:eastAsia="仿宋" w:cs="宋体"/>
                <w:bCs/>
                <w:kern w:val="0"/>
                <w:sz w:val="21"/>
                <w:szCs w:val="21"/>
                <w:lang w:val="en-US" w:eastAsia="zh-CN"/>
              </w:rPr>
              <w:t>5</w:t>
            </w:r>
            <w:r>
              <w:rPr>
                <w:rFonts w:hint="eastAsia" w:ascii="仿宋" w:hAnsi="仿宋" w:eastAsia="仿宋" w:cs="宋体"/>
                <w:bCs/>
                <w:kern w:val="0"/>
                <w:sz w:val="21"/>
                <w:szCs w:val="21"/>
              </w:rPr>
              <w:t>分</w:t>
            </w:r>
            <w:r>
              <w:rPr>
                <w:rFonts w:hint="eastAsia" w:ascii="仿宋" w:hAnsi="仿宋" w:eastAsia="仿宋" w:cs="宋体"/>
                <w:bCs/>
                <w:kern w:val="0"/>
                <w:sz w:val="21"/>
                <w:szCs w:val="21"/>
                <w:lang w:eastAsia="zh-CN"/>
              </w:rPr>
              <w:t>；</w:t>
            </w:r>
          </w:p>
          <w:p>
            <w:pPr>
              <w:adjustRightInd w:val="0"/>
              <w:snapToGrid w:val="0"/>
              <w:spacing w:line="340" w:lineRule="exact"/>
              <w:rPr>
                <w:rFonts w:hint="default" w:ascii="仿宋" w:hAnsi="仿宋" w:eastAsia="仿宋" w:cs="宋体"/>
                <w:bCs/>
                <w:kern w:val="0"/>
                <w:sz w:val="21"/>
                <w:szCs w:val="21"/>
                <w:lang w:val="en-US" w:eastAsia="zh-CN"/>
              </w:rPr>
            </w:pPr>
            <w:r>
              <w:rPr>
                <w:rFonts w:hint="eastAsia" w:ascii="仿宋" w:hAnsi="仿宋" w:eastAsia="仿宋" w:cs="宋体"/>
                <w:bCs/>
                <w:kern w:val="0"/>
                <w:sz w:val="21"/>
                <w:szCs w:val="21"/>
                <w:lang w:val="en-US" w:eastAsia="zh-CN"/>
              </w:rPr>
              <w:t>2、</w:t>
            </w:r>
            <w:r>
              <w:rPr>
                <w:rFonts w:hint="eastAsia" w:ascii="仿宋" w:hAnsi="仿宋" w:eastAsia="仿宋" w:cs="宋体"/>
                <w:bCs/>
                <w:kern w:val="0"/>
                <w:sz w:val="21"/>
                <w:szCs w:val="21"/>
              </w:rPr>
              <w:t>具有浅层人工地震探测设备并投入使用的，</w:t>
            </w:r>
            <w:r>
              <w:rPr>
                <w:rFonts w:hint="eastAsia" w:ascii="仿宋" w:hAnsi="仿宋" w:eastAsia="仿宋" w:cs="宋体"/>
                <w:bCs/>
                <w:kern w:val="0"/>
                <w:sz w:val="21"/>
                <w:szCs w:val="21"/>
                <w:lang w:eastAsia="zh-CN"/>
              </w:rPr>
              <w:t>得</w:t>
            </w:r>
            <w:r>
              <w:rPr>
                <w:rFonts w:hint="eastAsia" w:ascii="仿宋" w:hAnsi="仿宋" w:eastAsia="仿宋" w:cs="宋体"/>
                <w:bCs/>
                <w:kern w:val="0"/>
                <w:sz w:val="21"/>
                <w:szCs w:val="21"/>
              </w:rPr>
              <w:t>1 分；具有高密度电法探测设备并投入使用的，</w:t>
            </w:r>
            <w:r>
              <w:rPr>
                <w:rFonts w:hint="eastAsia" w:ascii="仿宋" w:hAnsi="仿宋" w:eastAsia="仿宋" w:cs="宋体"/>
                <w:bCs/>
                <w:kern w:val="0"/>
                <w:sz w:val="21"/>
                <w:szCs w:val="21"/>
                <w:lang w:eastAsia="zh-CN"/>
              </w:rPr>
              <w:t>得</w:t>
            </w:r>
            <w:r>
              <w:rPr>
                <w:rFonts w:hint="eastAsia" w:ascii="仿宋" w:hAnsi="仿宋" w:eastAsia="仿宋" w:cs="宋体"/>
                <w:bCs/>
                <w:kern w:val="0"/>
                <w:sz w:val="21"/>
                <w:szCs w:val="21"/>
              </w:rPr>
              <w:t>1 分；具有大地电磁探测设备并投入使用的，</w:t>
            </w:r>
            <w:r>
              <w:rPr>
                <w:rFonts w:hint="eastAsia" w:ascii="仿宋" w:hAnsi="仿宋" w:eastAsia="仿宋" w:cs="宋体"/>
                <w:bCs/>
                <w:kern w:val="0"/>
                <w:sz w:val="21"/>
                <w:szCs w:val="21"/>
                <w:lang w:eastAsia="zh-CN"/>
              </w:rPr>
              <w:t>得</w:t>
            </w:r>
            <w:r>
              <w:rPr>
                <w:rFonts w:hint="eastAsia" w:ascii="仿宋" w:hAnsi="仿宋" w:eastAsia="仿宋" w:cs="宋体"/>
                <w:bCs/>
                <w:kern w:val="0"/>
                <w:sz w:val="21"/>
                <w:szCs w:val="21"/>
              </w:rPr>
              <w:t>1 分；具有可控震源车（3吨及以上）探测设备并投入使用的，得 2 分；（提供合同、发票）</w:t>
            </w:r>
            <w:r>
              <w:rPr>
                <w:rFonts w:hint="eastAsia" w:ascii="仿宋" w:hAnsi="仿宋" w:eastAsia="仿宋" w:cs="宋体"/>
                <w:bCs/>
                <w:kern w:val="0"/>
                <w:sz w:val="21"/>
                <w:szCs w:val="21"/>
                <w:lang w:eastAsia="zh-CN"/>
              </w:rPr>
              <w:t>，共</w:t>
            </w:r>
            <w:r>
              <w:rPr>
                <w:rFonts w:hint="eastAsia" w:ascii="仿宋" w:hAnsi="仿宋" w:eastAsia="仿宋" w:cs="宋体"/>
                <w:bCs/>
                <w:kern w:val="0"/>
                <w:sz w:val="21"/>
                <w:szCs w:val="21"/>
                <w:lang w:val="en-US" w:eastAsia="zh-CN"/>
              </w:rPr>
              <w:t>5分</w:t>
            </w:r>
          </w:p>
          <w:p>
            <w:pPr>
              <w:adjustRightInd w:val="0"/>
              <w:snapToGrid w:val="0"/>
              <w:spacing w:line="340" w:lineRule="exact"/>
              <w:rPr>
                <w:rFonts w:hint="eastAsia" w:ascii="仿宋" w:hAnsi="仿宋" w:eastAsia="仿宋" w:cs="宋体"/>
                <w:bCs/>
                <w:kern w:val="0"/>
                <w:sz w:val="21"/>
                <w:szCs w:val="21"/>
                <w:lang w:eastAsia="zh-CN"/>
              </w:rPr>
            </w:pPr>
            <w:r>
              <w:rPr>
                <w:rFonts w:hint="eastAsia" w:ascii="仿宋" w:hAnsi="仿宋" w:eastAsia="仿宋" w:cs="宋体"/>
                <w:bCs/>
                <w:kern w:val="0"/>
                <w:sz w:val="21"/>
                <w:szCs w:val="21"/>
                <w:lang w:val="en-US" w:eastAsia="zh-CN"/>
              </w:rPr>
              <w:t>3</w:t>
            </w:r>
            <w:r>
              <w:rPr>
                <w:rFonts w:hint="eastAsia" w:ascii="仿宋" w:hAnsi="仿宋" w:eastAsia="仿宋" w:cs="宋体"/>
                <w:bCs/>
                <w:kern w:val="0"/>
                <w:sz w:val="21"/>
                <w:szCs w:val="21"/>
              </w:rPr>
              <w:t>、有具体处罚措施的</w:t>
            </w:r>
            <w:r>
              <w:rPr>
                <w:rFonts w:ascii="仿宋" w:hAnsi="仿宋" w:eastAsia="仿宋" w:cs="宋体"/>
                <w:bCs/>
                <w:kern w:val="0"/>
                <w:sz w:val="21"/>
                <w:szCs w:val="21"/>
              </w:rPr>
              <w:t>加5</w:t>
            </w:r>
            <w:r>
              <w:rPr>
                <w:rFonts w:hint="eastAsia" w:ascii="仿宋" w:hAnsi="仿宋" w:eastAsia="仿宋" w:cs="宋体"/>
                <w:bCs/>
                <w:kern w:val="0"/>
                <w:sz w:val="21"/>
                <w:szCs w:val="21"/>
              </w:rPr>
              <w:t>分</w:t>
            </w:r>
            <w:r>
              <w:rPr>
                <w:rFonts w:hint="eastAsia" w:ascii="仿宋" w:hAnsi="仿宋" w:eastAsia="仿宋"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kern w:val="0"/>
                <w:sz w:val="21"/>
                <w:szCs w:val="21"/>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ascii="仿宋" w:hAnsi="仿宋" w:eastAsia="仿宋" w:cs="宋体"/>
                <w:kern w:val="0"/>
                <w:sz w:val="21"/>
                <w:szCs w:val="21"/>
              </w:rPr>
              <w:t>1</w:t>
            </w:r>
            <w:r>
              <w:rPr>
                <w:rFonts w:hint="eastAsia" w:ascii="仿宋" w:hAnsi="仿宋" w:eastAsia="仿宋" w:cs="宋体"/>
                <w:kern w:val="0"/>
                <w:sz w:val="21"/>
                <w:szCs w:val="21"/>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1、质量管理体系齐全，针对本项目制定质量目标，质量保证措施具体详细可行性强得</w:t>
            </w:r>
            <w:r>
              <w:rPr>
                <w:rFonts w:ascii="仿宋" w:hAnsi="仿宋" w:eastAsia="仿宋" w:cs="宋体"/>
                <w:bCs/>
                <w:kern w:val="0"/>
                <w:sz w:val="21"/>
                <w:szCs w:val="21"/>
              </w:rPr>
              <w:t>10</w:t>
            </w:r>
            <w:r>
              <w:rPr>
                <w:rFonts w:hint="eastAsia" w:ascii="仿宋" w:hAnsi="仿宋" w:eastAsia="仿宋" w:cs="宋体"/>
                <w:bCs/>
                <w:kern w:val="0"/>
                <w:sz w:val="21"/>
                <w:szCs w:val="21"/>
              </w:rPr>
              <w:t>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2、质量管理体系齐全，针对本项目制定质量目标，质量保证措施较详细可行</w:t>
            </w:r>
            <w:r>
              <w:rPr>
                <w:rFonts w:ascii="仿宋" w:hAnsi="仿宋" w:eastAsia="仿宋" w:cs="宋体"/>
                <w:bCs/>
                <w:kern w:val="0"/>
                <w:sz w:val="21"/>
                <w:szCs w:val="21"/>
              </w:rPr>
              <w:t>6</w:t>
            </w:r>
            <w:r>
              <w:rPr>
                <w:rFonts w:hint="eastAsia" w:ascii="仿宋" w:hAnsi="仿宋" w:eastAsia="仿宋" w:cs="宋体"/>
                <w:bCs/>
                <w:kern w:val="0"/>
                <w:sz w:val="21"/>
                <w:szCs w:val="21"/>
              </w:rPr>
              <w:t>-</w:t>
            </w:r>
            <w:r>
              <w:rPr>
                <w:rFonts w:ascii="仿宋" w:hAnsi="仿宋" w:eastAsia="仿宋" w:cs="宋体"/>
                <w:bCs/>
                <w:kern w:val="0"/>
                <w:sz w:val="21"/>
                <w:szCs w:val="21"/>
              </w:rPr>
              <w:t>9</w:t>
            </w:r>
            <w:r>
              <w:rPr>
                <w:rFonts w:hint="eastAsia" w:ascii="仿宋" w:hAnsi="仿宋" w:eastAsia="仿宋" w:cs="宋体"/>
                <w:bCs/>
                <w:kern w:val="0"/>
                <w:sz w:val="21"/>
                <w:szCs w:val="21"/>
              </w:rPr>
              <w:t>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3、其他0-</w:t>
            </w:r>
            <w:r>
              <w:rPr>
                <w:rFonts w:ascii="仿宋" w:hAnsi="仿宋" w:eastAsia="仿宋" w:cs="宋体"/>
                <w:bCs/>
                <w:kern w:val="0"/>
                <w:sz w:val="21"/>
                <w:szCs w:val="21"/>
              </w:rPr>
              <w:t>5</w:t>
            </w:r>
            <w:r>
              <w:rPr>
                <w:rFonts w:hint="eastAsia" w:ascii="仿宋" w:hAnsi="仿宋" w:eastAsia="仿宋" w:cs="宋体"/>
                <w:bCs/>
                <w:kern w:val="0"/>
                <w:sz w:val="21"/>
                <w:szCs w:val="21"/>
              </w:rPr>
              <w:t>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4、提供具体处罚措施</w:t>
            </w:r>
            <w:r>
              <w:rPr>
                <w:rFonts w:ascii="仿宋" w:hAnsi="仿宋" w:eastAsia="仿宋" w:cs="宋体"/>
                <w:bCs/>
                <w:kern w:val="0"/>
                <w:sz w:val="21"/>
                <w:szCs w:val="21"/>
              </w:rPr>
              <w:t>加5</w:t>
            </w:r>
            <w:r>
              <w:rPr>
                <w:rFonts w:hint="eastAsia" w:ascii="仿宋" w:hAnsi="仿宋" w:eastAsia="仿宋" w:cs="宋体"/>
                <w:bCs/>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kern w:val="0"/>
                <w:sz w:val="21"/>
                <w:szCs w:val="21"/>
              </w:rPr>
              <w:t>服务</w:t>
            </w:r>
            <w:r>
              <w:rPr>
                <w:rFonts w:ascii="仿宋" w:hAnsi="仿宋" w:eastAsia="仿宋" w:cs="宋体"/>
                <w:kern w:val="0"/>
                <w:sz w:val="21"/>
                <w:szCs w:val="21"/>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1"/>
                <w:szCs w:val="21"/>
              </w:rPr>
            </w:pPr>
            <w:r>
              <w:rPr>
                <w:rFonts w:hint="eastAsia" w:ascii="仿宋" w:hAnsi="仿宋" w:eastAsia="仿宋" w:cs="宋体"/>
                <w:kern w:val="0"/>
                <w:sz w:val="21"/>
                <w:szCs w:val="21"/>
              </w:rPr>
              <w:t>1</w:t>
            </w:r>
            <w:r>
              <w:rPr>
                <w:rFonts w:ascii="仿宋" w:hAnsi="仿宋" w:eastAsia="仿宋" w:cs="宋体"/>
                <w:kern w:val="0"/>
                <w:sz w:val="21"/>
                <w:szCs w:val="21"/>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1、服务及建议合理，有针对性，有实质性优惠承诺的得10分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2、服务及建议较合理，较有针对性的得</w:t>
            </w:r>
            <w:r>
              <w:rPr>
                <w:rFonts w:ascii="仿宋" w:hAnsi="仿宋" w:eastAsia="仿宋" w:cs="宋体"/>
                <w:bCs/>
                <w:kern w:val="0"/>
                <w:sz w:val="21"/>
                <w:szCs w:val="21"/>
              </w:rPr>
              <w:t>6</w:t>
            </w:r>
            <w:r>
              <w:rPr>
                <w:rFonts w:hint="eastAsia" w:ascii="仿宋" w:hAnsi="仿宋" w:eastAsia="仿宋" w:cs="宋体"/>
                <w:bCs/>
                <w:kern w:val="0"/>
                <w:sz w:val="21"/>
                <w:szCs w:val="21"/>
              </w:rPr>
              <w:t>-9分</w:t>
            </w:r>
          </w:p>
          <w:p>
            <w:pPr>
              <w:adjustRightInd w:val="0"/>
              <w:snapToGrid w:val="0"/>
              <w:spacing w:line="340" w:lineRule="exact"/>
              <w:rPr>
                <w:rFonts w:ascii="仿宋" w:hAnsi="仿宋" w:eastAsia="仿宋" w:cs="宋体"/>
                <w:bCs/>
                <w:kern w:val="0"/>
                <w:sz w:val="21"/>
                <w:szCs w:val="21"/>
              </w:rPr>
            </w:pPr>
            <w:r>
              <w:rPr>
                <w:rFonts w:hint="eastAsia" w:ascii="仿宋" w:hAnsi="仿宋" w:eastAsia="仿宋" w:cs="宋体"/>
                <w:bCs/>
                <w:kern w:val="0"/>
                <w:sz w:val="21"/>
                <w:szCs w:val="21"/>
              </w:rPr>
              <w:t>3、其他得0-</w:t>
            </w:r>
            <w:r>
              <w:rPr>
                <w:rFonts w:ascii="仿宋" w:hAnsi="仿宋" w:eastAsia="仿宋" w:cs="宋体"/>
                <w:bCs/>
                <w:kern w:val="0"/>
                <w:sz w:val="21"/>
                <w:szCs w:val="21"/>
              </w:rPr>
              <w:t>5</w:t>
            </w:r>
            <w:r>
              <w:rPr>
                <w:rFonts w:hint="eastAsia" w:ascii="仿宋" w:hAnsi="仿宋" w:eastAsia="仿宋" w:cs="宋体"/>
                <w:bCs/>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1"/>
                <w:szCs w:val="21"/>
              </w:rPr>
            </w:pPr>
            <w:r>
              <w:rPr>
                <w:rFonts w:hint="eastAsia" w:ascii="仿宋" w:hAnsi="仿宋" w:eastAsia="仿宋" w:cs="宋体"/>
                <w:kern w:val="0"/>
                <w:sz w:val="21"/>
                <w:szCs w:val="21"/>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1"/>
                <w:szCs w:val="21"/>
              </w:rPr>
            </w:pPr>
            <w:r>
              <w:rPr>
                <w:rFonts w:hint="eastAsia" w:ascii="仿宋" w:hAnsi="仿宋" w:eastAsia="仿宋" w:cs="宋体"/>
                <w:kern w:val="0"/>
                <w:sz w:val="21"/>
                <w:szCs w:val="21"/>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1"/>
                <w:szCs w:val="21"/>
              </w:rPr>
            </w:pPr>
            <w:r>
              <w:rPr>
                <w:rFonts w:ascii="仿宋" w:hAnsi="仿宋" w:eastAsia="仿宋" w:cs="宋体"/>
                <w:bCs/>
                <w:kern w:val="0"/>
                <w:sz w:val="21"/>
                <w:szCs w:val="21"/>
              </w:rPr>
              <w:t>承诺严格按照国家相关收费标准</w:t>
            </w:r>
            <w:r>
              <w:rPr>
                <w:rFonts w:hint="eastAsia" w:ascii="仿宋" w:hAnsi="仿宋" w:eastAsia="仿宋" w:cs="宋体"/>
                <w:bCs/>
                <w:kern w:val="0"/>
                <w:sz w:val="21"/>
                <w:szCs w:val="21"/>
              </w:rPr>
              <w:t>计价，并明确</w:t>
            </w:r>
            <w:r>
              <w:rPr>
                <w:rFonts w:ascii="仿宋" w:hAnsi="仿宋" w:eastAsia="仿宋" w:cs="宋体"/>
                <w:bCs/>
                <w:kern w:val="0"/>
                <w:sz w:val="21"/>
                <w:szCs w:val="21"/>
              </w:rPr>
              <w:t>下浮比例</w:t>
            </w:r>
            <w:r>
              <w:rPr>
                <w:rFonts w:hint="eastAsia" w:ascii="仿宋" w:hAnsi="仿宋" w:eastAsia="仿宋" w:cs="宋体"/>
                <w:bCs/>
                <w:kern w:val="0"/>
                <w:sz w:val="21"/>
                <w:szCs w:val="21"/>
              </w:rPr>
              <w:t>，</w:t>
            </w:r>
            <w:r>
              <w:rPr>
                <w:rFonts w:ascii="仿宋" w:hAnsi="仿宋" w:eastAsia="仿宋" w:cs="宋体"/>
                <w:bCs/>
                <w:kern w:val="0"/>
                <w:sz w:val="21"/>
                <w:szCs w:val="21"/>
              </w:rPr>
              <w:t>下浮30%以上的报价为有效报价</w:t>
            </w:r>
            <w:r>
              <w:rPr>
                <w:rFonts w:hint="eastAsia" w:ascii="仿宋" w:hAnsi="仿宋" w:eastAsia="仿宋" w:cs="宋体"/>
                <w:bCs/>
                <w:kern w:val="0"/>
                <w:sz w:val="21"/>
                <w:szCs w:val="21"/>
              </w:rPr>
              <w:t>。</w:t>
            </w:r>
            <w:r>
              <w:rPr>
                <w:rFonts w:ascii="仿宋" w:hAnsi="仿宋" w:eastAsia="仿宋" w:cs="宋体"/>
                <w:bCs/>
                <w:kern w:val="0"/>
                <w:sz w:val="21"/>
                <w:szCs w:val="21"/>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rPr>
        <w:t>地震安全评估</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10"/>
        <w:tblW w:w="7736" w:type="dxa"/>
        <w:jc w:val="center"/>
        <w:tblInd w:w="0" w:type="dxa"/>
        <w:tblLayout w:type="fixed"/>
        <w:tblCellMar>
          <w:top w:w="0" w:type="dxa"/>
          <w:left w:w="108" w:type="dxa"/>
          <w:bottom w:w="0" w:type="dxa"/>
          <w:right w:w="108" w:type="dxa"/>
        </w:tblCellMar>
      </w:tblPr>
      <w:tblGrid>
        <w:gridCol w:w="1870"/>
        <w:gridCol w:w="5866"/>
      </w:tblGrid>
      <w:tr>
        <w:tblPrEx>
          <w:tblLayout w:type="fixed"/>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rFonts w:hint="default" w:eastAsia="宋体"/>
          <w:b/>
          <w:sz w:val="44"/>
          <w:szCs w:val="44"/>
          <w:lang w:val="en-US" w:eastAsia="zh-CN"/>
        </w:rPr>
      </w:pPr>
      <w:r>
        <w:rPr>
          <w:rFonts w:hint="eastAsia"/>
          <w:b/>
          <w:sz w:val="44"/>
          <w:szCs w:val="44"/>
          <w:lang w:val="en-US" w:eastAsia="zh-CN"/>
        </w:rPr>
        <w:t xml:space="preserve">  </w:t>
      </w: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致: </w:t>
      </w:r>
      <w:r>
        <w:rPr>
          <w:rFonts w:hint="eastAsia" w:ascii="仿宋" w:hAnsi="仿宋" w:eastAsia="仿宋" w:cs="宋体"/>
          <w:kern w:val="0"/>
          <w:sz w:val="32"/>
          <w:szCs w:val="32"/>
        </w:rPr>
        <w:t>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w:t>
      </w:r>
      <w:r>
        <w:rPr>
          <w:rFonts w:hint="eastAsia" w:ascii="仿宋" w:hAnsi="仿宋" w:eastAsia="仿宋"/>
          <w:sz w:val="32"/>
          <w:szCs w:val="32"/>
          <w:lang w:val="en-US" w:eastAsia="zh-CN"/>
        </w:rPr>
        <w:t xml:space="preserve"> </w:t>
      </w:r>
      <w:r>
        <w:rPr>
          <w:rFonts w:hint="eastAsia" w:ascii="仿宋" w:hAnsi="仿宋" w:eastAsia="仿宋"/>
          <w:sz w:val="32"/>
          <w:szCs w:val="32"/>
        </w:rPr>
        <w:t>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10"/>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exact"/>
        </w:trPr>
        <w:tc>
          <w:tcPr>
            <w:tcW w:w="731" w:type="dxa"/>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D4E7736"/>
    <w:rsid w:val="24F77395"/>
    <w:rsid w:val="3E702FE0"/>
    <w:rsid w:val="50971826"/>
    <w:rsid w:val="6B75267A"/>
    <w:rsid w:val="7B440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350</Words>
  <Characters>1997</Characters>
  <Lines>16</Lines>
  <Paragraphs>4</Paragraphs>
  <TotalTime>192</TotalTime>
  <ScaleCrop>false</ScaleCrop>
  <LinksUpToDate>false</LinksUpToDate>
  <CharactersWithSpaces>2343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2022-03-01T00:54:20Z</cp:lastPrinted>
  <dcterms:modified xsi:type="dcterms:W3CDTF">2022-03-01T01:11:41Z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8C707B95D37840B993E2DA43FE9CD5E7</vt:lpwstr>
  </property>
</Properties>
</file>